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shd w:val="clear" w:fill="FFFFFF"/>
        <w:ind w:left="0" w:firstLine="0"/>
        <w:jc w:val="center"/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27"/>
          <w:szCs w:val="27"/>
        </w:rPr>
      </w:pPr>
      <w:r>
        <w:rPr>
          <w:rFonts w:ascii="Arial" w:hAnsi="Arial" w:eastAsia="Arial" w:cs="Arial"/>
          <w:b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PORTARIA NORMATIVA Nº 2, DE 08 DE NOVEMBRO DE 2011</w:t>
      </w:r>
      <w:r>
        <w:rPr>
          <w:rFonts w:hint="default" w:ascii="Arial" w:hAnsi="Arial" w:eastAsia="Arial" w:cs="Arial"/>
          <w:b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Publicado no DOU de 09/11/2011</w:t>
      </w:r>
    </w:p>
    <w:p>
      <w:pPr>
        <w:keepNext w:val="0"/>
        <w:keepLines w:val="0"/>
        <w:widowControl/>
        <w:suppressLineNumbers w:val="0"/>
        <w:shd w:val="clear" w:fill="FFFFFF"/>
        <w:spacing w:after="240" w:afterAutospacing="0"/>
        <w:ind w:left="1440" w:right="1440" w:firstLine="0"/>
        <w:jc w:val="both"/>
        <w:rPr>
          <w:rFonts w:hint="eastAsia" w:ascii="SimSun" w:hAnsi="SimSun" w:eastAsia="SimSun" w:cs="SimSun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Arial" w:hAnsi="Arial" w:eastAsia="Arial" w:cs="Arial"/>
          <w:i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Dispõe sobre os procedimentos para a aplicação do limite remuneratório de que trata o </w:t>
      </w:r>
      <w:r>
        <w:rPr>
          <w:rFonts w:hint="default" w:ascii="Arial" w:hAnsi="Arial" w:eastAsia="Arial" w:cs="Arial"/>
          <w:i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Arial" w:cs="Arial"/>
          <w:i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instrText xml:space="preserve"> HYPERLINK "http://www.trtsp.jus.br/geral/tribunal2/legis/CF88/Titulo_3.html" \l "art37incXI" </w:instrText>
      </w:r>
      <w:r>
        <w:rPr>
          <w:rFonts w:hint="default" w:ascii="Arial" w:hAnsi="Arial" w:eastAsia="Arial" w:cs="Arial"/>
          <w:i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separate"/>
      </w:r>
      <w:r>
        <w:rPr>
          <w:rStyle w:val="3"/>
          <w:rFonts w:hint="default" w:ascii="Arial" w:hAnsi="Arial" w:eastAsia="Arial" w:cs="Arial"/>
          <w:i/>
          <w:caps w:val="0"/>
          <w:spacing w:val="0"/>
          <w:sz w:val="20"/>
          <w:szCs w:val="20"/>
          <w:shd w:val="clear" w:fill="FFFFFF"/>
        </w:rPr>
        <w:t>inciso XI, do art. 37</w:t>
      </w:r>
      <w:r>
        <w:rPr>
          <w:rFonts w:hint="default" w:ascii="Arial" w:hAnsi="Arial" w:eastAsia="Arial" w:cs="Arial"/>
          <w:i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Arial" w:cs="Arial"/>
          <w:i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, da Constituição Federal sobre a remuneração, provento ou pensão percebidos fora do Sistema Integrado de Administração de Recursos Humanos (extraSIAPE).</w:t>
      </w:r>
    </w:p>
    <w:p>
      <w:pPr>
        <w:keepNext w:val="0"/>
        <w:keepLines w:val="0"/>
        <w:widowControl/>
        <w:suppressLineNumbers w:val="0"/>
        <w:shd w:val="clear" w:fill="FFFFFF"/>
        <w:spacing w:after="270" w:afterAutospacing="0"/>
        <w:ind w:left="0" w:firstLine="0"/>
        <w:jc w:val="both"/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27"/>
          <w:szCs w:val="27"/>
        </w:rPr>
      </w:pP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O SECRETÁRIO DE RECURSOS HUMANOS DO MINISTÉRIO DO PLANEJAMENTO, ORÇAMENTO E GESTÃO, no uso das atribuições que lhe confere o inciso I, do art. 35, do </w: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instrText xml:space="preserve"> HYPERLINK "http://www.planalto.gov.br/ccivil_03/_Ato2007-2010/2010/Decreto/D7063.htm" </w:instrTex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separate"/>
      </w:r>
      <w:r>
        <w:rPr>
          <w:rStyle w:val="3"/>
          <w:rFonts w:hint="default" w:ascii="Arial" w:hAnsi="Arial" w:eastAsia="Arial" w:cs="Arial"/>
          <w:i w:val="0"/>
          <w:caps w:val="0"/>
          <w:spacing w:val="0"/>
          <w:sz w:val="20"/>
          <w:szCs w:val="20"/>
          <w:shd w:val="clear" w:fill="FFFFFF"/>
        </w:rPr>
        <w:t>Decreto nº 7.063</w: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, de 13 de janeiro de 2010, tendo em vista o disposto nos incisos</w: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instrText xml:space="preserve"> HYPERLINK "http://www.trtsp.jus.br/geral/tribunal2/legis/CF88/Titulo_3.html" \l "art37incII" </w:instrTex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separate"/>
      </w:r>
      <w:r>
        <w:rPr>
          <w:rStyle w:val="3"/>
          <w:rFonts w:hint="default" w:ascii="Arial" w:hAnsi="Arial" w:eastAsia="Arial" w:cs="Arial"/>
          <w:i w:val="0"/>
          <w:caps w:val="0"/>
          <w:spacing w:val="0"/>
          <w:sz w:val="20"/>
          <w:szCs w:val="20"/>
          <w:shd w:val="clear" w:fill="FFFFFF"/>
        </w:rPr>
        <w:t> II</w: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 e </w: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instrText xml:space="preserve"> HYPERLINK "http://www.trtsp.jus.br/geral/tribunal2/legis/CF88/Titulo_3.html" \l "art37incXI" </w:instrTex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separate"/>
      </w:r>
      <w:r>
        <w:rPr>
          <w:rStyle w:val="3"/>
          <w:rFonts w:hint="default" w:ascii="Arial" w:hAnsi="Arial" w:eastAsia="Arial" w:cs="Arial"/>
          <w:i w:val="0"/>
          <w:caps w:val="0"/>
          <w:spacing w:val="0"/>
          <w:sz w:val="20"/>
          <w:szCs w:val="20"/>
          <w:shd w:val="clear" w:fill="FFFFFF"/>
        </w:rPr>
        <w:t>XI</w: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, e no </w: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instrText xml:space="preserve"> HYPERLINK "http://www.trtsp.jus.br/geral/tribunal2/legis/CF88/Titulo_3.html" \l "art37p9" </w:instrTex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separate"/>
      </w:r>
      <w:r>
        <w:rPr>
          <w:rStyle w:val="3"/>
          <w:rFonts w:hint="default" w:ascii="Arial" w:hAnsi="Arial" w:eastAsia="Arial" w:cs="Arial"/>
          <w:i w:val="0"/>
          <w:caps w:val="0"/>
          <w:spacing w:val="0"/>
          <w:sz w:val="20"/>
          <w:szCs w:val="20"/>
          <w:shd w:val="clear" w:fill="FFFFFF"/>
        </w:rPr>
        <w:t>§ 9º do art. 37</w: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, da Constituição Federal; no </w: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instrText xml:space="preserve"> HYPERLINK "http://www.trtsp.jus.br/geral/tribunal2/Legis/Leis/8112_90/INDICE.html" \l "art9incII" </w:instrTex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separate"/>
      </w:r>
      <w:r>
        <w:rPr>
          <w:rStyle w:val="3"/>
          <w:rFonts w:hint="default" w:ascii="Arial" w:hAnsi="Arial" w:eastAsia="Arial" w:cs="Arial"/>
          <w:i w:val="0"/>
          <w:caps w:val="0"/>
          <w:spacing w:val="0"/>
          <w:sz w:val="20"/>
          <w:szCs w:val="20"/>
          <w:shd w:val="clear" w:fill="FFFFFF"/>
        </w:rPr>
        <w:t>inciso II, do art. 9º</w: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, e no </w: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instrText xml:space="preserve"> HYPERLINK "http://www.trtsp.jus.br/geral/tribunal2/Legis/Leis/8112_90/INDICE.html" \l "art116i9ncIII" </w:instrTex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separate"/>
      </w:r>
      <w:r>
        <w:rPr>
          <w:rStyle w:val="3"/>
          <w:rFonts w:hint="default" w:ascii="Arial" w:hAnsi="Arial" w:eastAsia="Arial" w:cs="Arial"/>
          <w:i w:val="0"/>
          <w:caps w:val="0"/>
          <w:spacing w:val="0"/>
          <w:sz w:val="20"/>
          <w:szCs w:val="20"/>
          <w:shd w:val="clear" w:fill="FFFFFF"/>
        </w:rPr>
        <w:t>inciso III, do art. 116</w: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, da Lei nº 8.112, de 11 de dezembro de 1990; nos arts. </w: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instrText xml:space="preserve"> HYPERLINK "http://www.trtsp.jus.br/geral/tribunal2/Legis/Leis/10887_04.html" \l "art3" </w:instrTex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separate"/>
      </w:r>
      <w:r>
        <w:rPr>
          <w:rStyle w:val="3"/>
          <w:rFonts w:hint="default" w:ascii="Arial" w:hAnsi="Arial" w:eastAsia="Arial" w:cs="Arial"/>
          <w:i w:val="0"/>
          <w:caps w:val="0"/>
          <w:spacing w:val="0"/>
          <w:sz w:val="20"/>
          <w:szCs w:val="20"/>
          <w:shd w:val="clear" w:fill="FFFFFF"/>
        </w:rPr>
        <w:t>3º</w: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 e </w: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instrText xml:space="preserve"> HYPERLINK "http://www.trtsp.jus.br/geral/tribunal2/Legis/Leis/10887_04.html" \l "art4" </w:instrTex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separate"/>
      </w:r>
      <w:r>
        <w:rPr>
          <w:rStyle w:val="3"/>
          <w:rFonts w:hint="default" w:ascii="Arial" w:hAnsi="Arial" w:eastAsia="Arial" w:cs="Arial"/>
          <w:i w:val="0"/>
          <w:caps w:val="0"/>
          <w:spacing w:val="0"/>
          <w:sz w:val="20"/>
          <w:szCs w:val="20"/>
          <w:shd w:val="clear" w:fill="FFFFFF"/>
        </w:rPr>
        <w:t>4º</w: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 da Lei nº 10.887, de 18 de junho de 2004; na </w: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instrText xml:space="preserve"> HYPERLINK "http://www.planalto.gov.br/ccivil_03/Leis/L8213cons.htm" </w:instrTex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separate"/>
      </w:r>
      <w:r>
        <w:rPr>
          <w:rStyle w:val="3"/>
          <w:rFonts w:hint="default" w:ascii="Arial" w:hAnsi="Arial" w:eastAsia="Arial" w:cs="Arial"/>
          <w:i w:val="0"/>
          <w:caps w:val="0"/>
          <w:spacing w:val="0"/>
          <w:sz w:val="20"/>
          <w:szCs w:val="20"/>
          <w:shd w:val="clear" w:fill="FFFFFF"/>
        </w:rPr>
        <w:t>Lei nº 8.213</w: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, de 14 de julho de 1991; na </w: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instrText xml:space="preserve"> HYPERLINK "http://www.trtsp.jus.br/geral/tribunal2/Legis/Leis/8429_92.html" </w:instrTex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separate"/>
      </w:r>
      <w:r>
        <w:rPr>
          <w:rStyle w:val="3"/>
          <w:rFonts w:hint="default" w:ascii="Arial" w:hAnsi="Arial" w:eastAsia="Arial" w:cs="Arial"/>
          <w:i w:val="0"/>
          <w:caps w:val="0"/>
          <w:spacing w:val="0"/>
          <w:sz w:val="20"/>
          <w:szCs w:val="20"/>
          <w:shd w:val="clear" w:fill="FFFFFF"/>
        </w:rPr>
        <w:t>Lei nº 8.429</w: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, de 2 de julho de 1992; na </w: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instrText xml:space="preserve"> HYPERLINK "http://www.trtsp.jus.br/geral/tribunal2/Legis/Leis/9784_99.html" </w:instrTex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separate"/>
      </w:r>
      <w:r>
        <w:rPr>
          <w:rStyle w:val="3"/>
          <w:rFonts w:hint="default" w:ascii="Arial" w:hAnsi="Arial" w:eastAsia="Arial" w:cs="Arial"/>
          <w:i w:val="0"/>
          <w:caps w:val="0"/>
          <w:spacing w:val="0"/>
          <w:sz w:val="20"/>
          <w:szCs w:val="20"/>
          <w:shd w:val="clear" w:fill="FFFFFF"/>
        </w:rPr>
        <w:t>Lei nº 9.784</w: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, de 29 de janeiro de 1999; e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t> </w:t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considerando a necessidade de estabelecer procedimentos para subsidiar o cálculo do limite remuneratório no âmbito dos órgãos e entidades do Sistema de Pessoal Civil da Administração Pública Federal - SIPEC, resolve: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bookmarkStart w:id="0" w:name="art1"/>
      <w:bookmarkEnd w:id="0"/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Art. 1º Os servidores, ativos e aposentados, incluídos os agentes políticos, e os empregados públicos dos poderes da União, dos Estados, dos Municípios e do Distrito Federal, nomeados para o exercício de cargo efetivo, cargo em comissão ou função comissionada em órgãos e entidades integrantes do SIPEC, deverão fornecer à unidade de recursos humanos do órgão ou entidade onde se dará o exercício, comprovante(s) de rendimentos (contracheque) recebido(s) de outros entes da Federação: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bookmarkStart w:id="1" w:name="art1incI"/>
      <w:bookmarkEnd w:id="1"/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I - no ato da posse;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bookmarkStart w:id="2" w:name="art1incII"/>
      <w:bookmarkEnd w:id="2"/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II - semestralmente, nos meses de abril e outubro; e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bookmarkStart w:id="3" w:name="art1incIII"/>
      <w:bookmarkEnd w:id="3"/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III - sempre que houver alteração no valor da remuneração.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§ 1º Aplica-se o disposto no </w: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instrText xml:space="preserve"> HYPERLINK "http://www.trtsp.jus.br/geral/tribunal2/ORGAOS/Min_Div/MPOG_PortNorm_02_11.html" \l "art1" </w:instrTex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separate"/>
      </w:r>
      <w:r>
        <w:rPr>
          <w:rStyle w:val="3"/>
          <w:rFonts w:hint="default" w:ascii="Arial" w:hAnsi="Arial" w:eastAsia="Arial" w:cs="Arial"/>
          <w:i w:val="0"/>
          <w:caps w:val="0"/>
          <w:spacing w:val="0"/>
          <w:sz w:val="20"/>
          <w:szCs w:val="20"/>
          <w:shd w:val="clear" w:fill="FFFFFF"/>
        </w:rPr>
        <w:t>caput</w: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 aos empregados das empresas públicas, sociedades de economia mista, suas subsidiárias e sociedades controladas, direta ou indiretamente pelo poder público, e que recebam recursos da União, dos Estados, dos Municípios, ou do Distrito Federal, para fins de pagamento de despesas com pessoal ou custeio em geral.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§ 2º Aplica-se o disposto no </w: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instrText xml:space="preserve"> HYPERLINK "http://www.trtsp.jus.br/geral/tribunal2/ORGAOS/Min_Div/MPOG_PortNorm_02_11.html" \l "art1" </w:instrTex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separate"/>
      </w:r>
      <w:r>
        <w:rPr>
          <w:rStyle w:val="3"/>
          <w:rFonts w:hint="default" w:ascii="Arial" w:hAnsi="Arial" w:eastAsia="Arial" w:cs="Arial"/>
          <w:i w:val="0"/>
          <w:caps w:val="0"/>
          <w:spacing w:val="0"/>
          <w:sz w:val="20"/>
          <w:szCs w:val="20"/>
          <w:shd w:val="clear" w:fill="FFFFFF"/>
        </w:rPr>
        <w:t>caput</w: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 aos beneficiários de pensão vinculados à União, aos Estados, aos Municípios, e ao Distrito Federal, quando da habilitação da pensão.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§ 3º No caso de acumulação de cargos, empregos públicos, pensões ou funções, o servidor, o empregado e o beneficiário de pensão fornecerão os comprovantes de rendimentos (contracheque) de todos os vínculos.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§ 4º O disposto no </w: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instrText xml:space="preserve"> HYPERLINK "http://www.trtsp.jus.br/geral/tribunal2/ORGAOS/Min_Div/MPOG_PortNorm_02_11.html" \l "art1" </w:instrTex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separate"/>
      </w:r>
      <w:r>
        <w:rPr>
          <w:rStyle w:val="3"/>
          <w:rFonts w:hint="default" w:ascii="Arial" w:hAnsi="Arial" w:eastAsia="Arial" w:cs="Arial"/>
          <w:i w:val="0"/>
          <w:caps w:val="0"/>
          <w:spacing w:val="0"/>
          <w:sz w:val="20"/>
          <w:szCs w:val="20"/>
          <w:shd w:val="clear" w:fill="FFFFFF"/>
        </w:rPr>
        <w:t>caput</w: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 não se aplica aos servidores ativos e aposentados e aos empregados públicos oriundos de órgãos ou entidades que integram a base de dados do Sistema Integrado de Administração de Recursos Humanos - SIAPE.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Art. 2º Estão sujeitas ao limite remuneratório de que trata o </w: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instrText xml:space="preserve"> HYPERLINK "http://www.trtsp.jus.br/geral/tribunal2/ORGAOS/Min_Div/MPOG_PortNorm_02_11.html" \l "art1" </w:instrTex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separate"/>
      </w:r>
      <w:r>
        <w:rPr>
          <w:rStyle w:val="3"/>
          <w:rFonts w:hint="default" w:ascii="Arial" w:hAnsi="Arial" w:eastAsia="Arial" w:cs="Arial"/>
          <w:i w:val="0"/>
          <w:caps w:val="0"/>
          <w:spacing w:val="0"/>
          <w:sz w:val="20"/>
          <w:szCs w:val="20"/>
          <w:shd w:val="clear" w:fill="FFFFFF"/>
        </w:rPr>
        <w:t>caput do art. 1º</w: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, as seguintes parcelas: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I - vencimentos ou subsídios;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II - verbas de representação;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III - parcelas de equivalência ou isonomia;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IV - abonos;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V - prêmios;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VI - adicionais, inclusive anuênios, biênios, triênios, quinquênios, sexta parte, "cascatinha", 15% e 25%, trintenário, quintos, décimos e quaisquer outros referentes a tempo de serviço;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VII - gratificações de qualquer natureza e denominação;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VIII - diferenças individuais para compensar decréscimo remuneratório; 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IX - vantagens pessoais e as nominalmente identificadas - VPNI;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X - verba de permanência em serviço mantida nos proventos e nas pensões estatutárias;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XI - ajuda de custo para capacitação profissional;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XII - retribuição pelo exercício em local de difícil provimento;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XIII - gratificação ou adicional de localidade especial;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XIV - proventos e pensões estatutárias ou militares;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XV - valores decorrentes do exercício de cargo em comissão ou função de confiança, independentemente da denominação recebida ou da atribuição dada;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XVI - valores decorrentes do exercício cumulativo de atribuições;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XVII - substituições;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XVIII - gratificação por assumir outros encargos;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XIX - remuneração ou gratificação decorrente do exercício de mandato;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XX - abono, verba de representação e qualquer outra espécie remuneratória referente à remuneração do cargo e à de seu ocupante;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XXI- adicional de insalubridade, adicional de periculosidade e adicional de penosidade;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XXII - adicional de radiação ionizante;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XXIII - gratificação de raios-X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XXIV - horas extras;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XXV- adicional de sobreaviso;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XXVI - hora repouso e hora alimentação;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XXVII - adicional de plantão;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XXVIII - adicional noturno;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XXIX - gratificação por encargo de curso ou concurso;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XXX - valores decorrentes de complementação de aposentadoria ou pensão;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XXXI - bolsa de estudos de natureza remuneratória;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XXXII - auxílio-moradia concedido sem necessidade de comprovação da despesa;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XXXIII - gratificação pelo exercício de atribuições transitórias, inclusive gratificação pela participação em comissões;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XXXIV - valores recebidos pela prestação de serviços extraordinários;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XXXV - aviso prévio, férias, adicional de férias e décimo terceiro salário;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XXXVI - aposentadorias e pensões pagas pelo RGPS na hipótese de o benefício decorrer de contribuição recolhida por empresas públicas, sociedades de economia mista, suas subsidiárias e sociedades controladas, direta ou indiretamente pelo poder público, e que recebam recursos da União, dos Estados, dos Municípios, ou do Distrito Federal, para fins de pagamento de despesas com pessoal ou custeio em geral; e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XXXVII - outras verbas de caráter remuneratório não expressamente relacionadas neste artigo, excluídas as de caráter indenizatório.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Art. 3º Os servidores ativos e aposentados, os empregados públicos e os beneficiários de pensão da União, nomeados para o exercício de cargo efetivo, cargo em comissão ou função comissionada nos Estados, Municípios ou no Distrito Federal fornecerão comprovante(s) de rendimentos (contracheque) à unidade de recursos humanos do órgão ou entidade de origem.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bookmarkStart w:id="4" w:name="art4"/>
      <w:bookmarkEnd w:id="4"/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Art. 4º Para efeito de cumprimento do disposto nesta Portaria Normativa, o servidor deverá assinar termo de responsabilidade na forma do </w: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instrText xml:space="preserve"> HYPERLINK "http://www.trtsp.jus.br/geral/tribunal2/ORGAOS/Min_Div/MPOG_PortNorm_02_11.html" \l "anexo" </w:instrTex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separate"/>
      </w:r>
      <w:r>
        <w:rPr>
          <w:rStyle w:val="3"/>
          <w:rFonts w:hint="default" w:ascii="Arial" w:hAnsi="Arial" w:eastAsia="Arial" w:cs="Arial"/>
          <w:i w:val="0"/>
          <w:caps w:val="0"/>
          <w:spacing w:val="0"/>
          <w:sz w:val="20"/>
          <w:szCs w:val="20"/>
          <w:shd w:val="clear" w:fill="FFFFFF"/>
        </w:rPr>
        <w:t>Anexo</w: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, comprometendo-se a fornecer o(s) comprovante(s) de rendimentos (contracheque) nos prazos e períodos previstos nos </w: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instrText xml:space="preserve"> HYPERLINK "http://www.trtsp.jus.br/geral/tribunal2/ORGAOS/Min_Div/MPOG_PortNorm_02_11.html" \l "art1incI" </w:instrTex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separate"/>
      </w:r>
      <w:r>
        <w:rPr>
          <w:rStyle w:val="3"/>
          <w:rFonts w:hint="default" w:ascii="Arial" w:hAnsi="Arial" w:eastAsia="Arial" w:cs="Arial"/>
          <w:i w:val="0"/>
          <w:caps w:val="0"/>
          <w:spacing w:val="0"/>
          <w:sz w:val="20"/>
          <w:szCs w:val="20"/>
          <w:shd w:val="clear" w:fill="FFFFFF"/>
        </w:rPr>
        <w:t>incisos I a III, do art. 1º</w: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, e em todas as ocasiões em que for solicitado.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Parágrafo único. Aplica-se o disposto no </w: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instrText xml:space="preserve"> HYPERLINK "http://www.trtsp.jus.br/geral/tribunal2/ORGAOS/Min_Div/MPOG_PortNorm_02_11.html" \l "art4" </w:instrTex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separate"/>
      </w:r>
      <w:r>
        <w:rPr>
          <w:rStyle w:val="3"/>
          <w:rFonts w:hint="default" w:ascii="Arial" w:hAnsi="Arial" w:eastAsia="Arial" w:cs="Arial"/>
          <w:i w:val="0"/>
          <w:caps w:val="0"/>
          <w:spacing w:val="0"/>
          <w:sz w:val="20"/>
          <w:szCs w:val="20"/>
          <w:shd w:val="clear" w:fill="FFFFFF"/>
        </w:rPr>
        <w:t>caput</w: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 ao beneficiário de pensão.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bookmarkStart w:id="5" w:name="art5"/>
      <w:bookmarkEnd w:id="5"/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Art. 5º O cumprimento das disposições constantes desta Portaria Normativa é condição essencial e indispensável para a posse, o exercício e a permanência do servidor no cargo efetivo, no cargo em comissão ou na função comissionada.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Parágrafo único. Aplica-se o disposto no </w: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instrText xml:space="preserve"> HYPERLINK "http://www.trtsp.jus.br/geral/tribunal2/ORGAOS/Min_Div/MPOG_PortNorm_02_11.html" \l "art5" </w:instrTex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separate"/>
      </w:r>
      <w:r>
        <w:rPr>
          <w:rStyle w:val="3"/>
          <w:rFonts w:hint="default" w:ascii="Arial" w:hAnsi="Arial" w:eastAsia="Arial" w:cs="Arial"/>
          <w:i w:val="0"/>
          <w:caps w:val="0"/>
          <w:spacing w:val="0"/>
          <w:sz w:val="20"/>
          <w:szCs w:val="20"/>
          <w:shd w:val="clear" w:fill="FFFFFF"/>
        </w:rPr>
        <w:t>caput</w: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 ao beneficiário de pensão para fins de habilitação.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Art. 6º Para fins de cumprimento do disposto nesta Portaria Normativa, a Secretaria de Recursos Humanos baixará instruções operacionais via COMUNICA aos órgãos e entidades do SIPEC.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Art. 7º Cabe aos dirigentes de recursos humanos, aos servidores ativos e aposentados, incluídos os agentes políticos, aos empregados públicos, e aos beneficiários de pensão observar a aplicação e o cumprimento do disposto nesta Portaria Normativa, sob pena de responsabilização administrativa, civil e criminal.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Art. 8º Para fins de cumprimento do disposto nesta Portaria Normativa, os servidores ativos e aposentados, incluídos os agente políticos, os empregados públicos e os beneficiários de pensão, de que trata o </w: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instrText xml:space="preserve"> HYPERLINK "http://www.trtsp.jus.br/geral/tribunal2/ORGAOS/Min_Div/MPOG_PortNorm_02_11.html" \l "art1" </w:instrTex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separate"/>
      </w:r>
      <w:r>
        <w:rPr>
          <w:rStyle w:val="3"/>
          <w:rFonts w:hint="default" w:ascii="Arial" w:hAnsi="Arial" w:eastAsia="Arial" w:cs="Arial"/>
          <w:i w:val="0"/>
          <w:caps w:val="0"/>
          <w:spacing w:val="0"/>
          <w:sz w:val="20"/>
          <w:szCs w:val="20"/>
          <w:shd w:val="clear" w:fill="FFFFFF"/>
        </w:rPr>
        <w:t>art. 1º,</w: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 deverão, no prazo de (30) trinta dias, a contar de sua publicação, comparecer às unidades de recursos humanos dos órgãos e entidades para assinar o termo de responsabilidade na forma do </w: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instrText xml:space="preserve"> HYPERLINK "http://www.trtsp.jus.br/geral/tribunal2/ORGAOS/Min_Div/MPOG_PortNorm_02_11.html" \l "anexo" </w:instrTex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separate"/>
      </w:r>
      <w:r>
        <w:rPr>
          <w:rStyle w:val="3"/>
          <w:rFonts w:hint="default" w:ascii="Arial" w:hAnsi="Arial" w:eastAsia="Arial" w:cs="Arial"/>
          <w:i w:val="0"/>
          <w:caps w:val="0"/>
          <w:spacing w:val="0"/>
          <w:sz w:val="20"/>
          <w:szCs w:val="20"/>
          <w:shd w:val="clear" w:fill="FFFFFF"/>
        </w:rPr>
        <w:t>Anexo</w:t>
      </w:r>
      <w:r>
        <w:rPr>
          <w:rFonts w:hint="default" w:ascii="Arial" w:hAnsi="Arial" w:eastAsia="Arial" w:cs="Arial"/>
          <w:i w:val="0"/>
          <w:caps w:val="0"/>
          <w:spacing w:val="0"/>
          <w:kern w:val="0"/>
          <w:sz w:val="20"/>
          <w:szCs w:val="20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, e fornecer comprovante(s) de rendimentos (contracheque) recebido(s) de outros entes da Federação.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Art. 9º Esta Portaria Normativa entra em vigor na data de sua publicação.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center"/>
        <w:rPr>
          <w:rFonts w:hint="default" w:ascii="Arial" w:hAnsi="Arial" w:eastAsia="Arial" w:cs="Arial"/>
          <w:b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</w:pPr>
      <w:r>
        <w:rPr>
          <w:rFonts w:hint="default" w:ascii="Arial" w:hAnsi="Arial" w:eastAsia="Arial" w:cs="Arial"/>
          <w:b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DUVANIER PAIVA FERREIRA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center"/>
        <w:rPr>
          <w:rFonts w:hint="default" w:ascii="Arial" w:hAnsi="Arial" w:eastAsia="Arial" w:cs="Arial"/>
          <w:b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center"/>
        <w:rPr>
          <w:rFonts w:hint="default" w:ascii="Arial" w:hAnsi="Arial" w:eastAsia="Arial" w:cs="Arial"/>
          <w:b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center"/>
        <w:rPr>
          <w:rFonts w:hint="default" w:ascii="Arial" w:hAnsi="Arial" w:eastAsia="Arial" w:cs="Arial"/>
          <w:b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</w:pPr>
      <w:bookmarkStart w:id="7" w:name="_GoBack"/>
      <w:bookmarkEnd w:id="7"/>
    </w:p>
    <w:p>
      <w:pPr>
        <w:keepNext w:val="0"/>
        <w:keepLines w:val="0"/>
        <w:widowControl/>
        <w:suppressLineNumbers w:val="0"/>
        <w:spacing w:after="240" w:afterAutospacing="0"/>
        <w:jc w:val="left"/>
      </w:pP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</w:p>
    <w:p>
      <w:pPr>
        <w:keepNext w:val="0"/>
        <w:keepLines w:val="0"/>
        <w:widowControl/>
        <w:suppressLineNumbers w:val="0"/>
        <w:shd w:val="clear" w:fill="FFFFFF"/>
        <w:spacing w:after="270" w:afterAutospacing="0"/>
        <w:ind w:left="0" w:firstLine="0"/>
        <w:jc w:val="center"/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27"/>
          <w:szCs w:val="27"/>
        </w:rPr>
      </w:pPr>
      <w:bookmarkStart w:id="6" w:name="anexo"/>
      <w:bookmarkEnd w:id="6"/>
      <w:r>
        <w:rPr>
          <w:rFonts w:hint="default" w:ascii="Arial" w:hAnsi="Arial" w:eastAsia="Arial" w:cs="Arial"/>
          <w:b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ANEXO</w:t>
      </w:r>
      <w:r>
        <w:rPr>
          <w:rFonts w:hint="default" w:ascii="Arial" w:hAnsi="Arial" w:eastAsia="Arial" w:cs="Arial"/>
          <w:b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b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TERMO DE RESPONSABILIDADE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27"/>
          <w:szCs w:val="27"/>
        </w:rPr>
      </w:pP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Eu,______________________________________________, (nome) _________________________________________________, (situação funcional: servidor ativo, aposentado, beneficiário de pensão, empregado público, agente político) inscrito no CPF sob nº _________________________________, responsabilizo-me, nos termos do inciso III, do art. 116, da Lei nº 8.112, de 11 de dezembro de 1990, a fornecer comprovante(s) de rendimentos (contracheque) nos prazos e períodos previstos nos incisos I a III do art. 1º da Portaria Normativa nº_______, de_______de _________________de 2011, publicada no D.O.U. de ______/______/_______, e em todas as ocasiões em que for solicitado.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____________________, ______/______/________.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Local e Data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___________________________________________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Assinatura do servidor ou beneficiário de pensão</w:t>
      </w:r>
    </w:p>
    <w:p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FZShuSong-Z01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黑体">
    <w:altName w:val="FZHei-B01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imSun">
    <w:altName w:val="FZShuSong-Z01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FZShuSong-Z01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FZShuSong-Z01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Abyssinica SIL">
    <w:panose1 w:val="02000603020000020004"/>
    <w:charset w:val="00"/>
    <w:family w:val="auto"/>
    <w:pitch w:val="default"/>
    <w:sig w:usb0="800000EF" w:usb1="5000A04B" w:usb2="00000828" w:usb3="00000000" w:csb0="2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EFE8B6F5"/>
    <w:rsid w:val="EFE8B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Hyperlink"/>
    <w:basedOn w:val="2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2E3436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Office_10.1.0.6757_F1E327BC-269C-435d-A152-05C5408002CA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2019-02-21T09:56:00Z</dcterms:created>
  <dc:creator>vinicius</dc:creator>
  <cp:lastModifiedBy>vinicius</cp:lastModifiedBy>
  <dcterms:modified xsi:type="dcterms:W3CDTF">2019-02-21T09:58:01Z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1033-10.1.0.6757</vt:lpwstr>
  </property>
</Properties>
</file>